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rPr>
          <w:rFonts w:eastAsia="仿宋"/>
          <w:b/>
          <w:szCs w:val="28"/>
        </w:rPr>
      </w:pPr>
      <w:r>
        <w:rPr>
          <w:rFonts w:eastAsia="仿宋"/>
          <w:b/>
          <w:szCs w:val="28"/>
        </w:rPr>
        <w:t>附表1</w:t>
      </w:r>
    </w:p>
    <w:p>
      <w:pPr>
        <w:snapToGrid w:val="0"/>
        <w:spacing w:line="360" w:lineRule="auto"/>
        <w:jc w:val="center"/>
        <w:rPr>
          <w:rFonts w:eastAsia="宋体"/>
          <w:b/>
          <w:sz w:val="32"/>
          <w:szCs w:val="32"/>
        </w:rPr>
      </w:pPr>
      <w:r>
        <w:rPr>
          <w:rFonts w:eastAsia="宋体"/>
          <w:b/>
          <w:sz w:val="32"/>
          <w:szCs w:val="32"/>
        </w:rPr>
        <w:t>协会标准项目建议书</w:t>
      </w:r>
    </w:p>
    <w:tbl>
      <w:tblPr>
        <w:tblStyle w:val="5"/>
        <w:tblW w:w="97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7"/>
        <w:gridCol w:w="1078"/>
        <w:gridCol w:w="540"/>
        <w:gridCol w:w="540"/>
        <w:gridCol w:w="928"/>
        <w:gridCol w:w="886"/>
        <w:gridCol w:w="957"/>
        <w:gridCol w:w="744"/>
        <w:gridCol w:w="1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2167" w:type="dxa"/>
            <w:vAlign w:val="center"/>
          </w:tcPr>
          <w:p>
            <w:pPr>
              <w:snapToGrid w:val="0"/>
              <w:spacing w:line="360" w:lineRule="auto"/>
              <w:jc w:val="center"/>
              <w:rPr>
                <w:rFonts w:eastAsia="宋体"/>
                <w:sz w:val="18"/>
                <w:szCs w:val="18"/>
              </w:rPr>
            </w:pPr>
            <w:r>
              <w:rPr>
                <w:rFonts w:eastAsia="宋体"/>
                <w:sz w:val="18"/>
                <w:szCs w:val="18"/>
              </w:rPr>
              <w:t>建议项目名称</w:t>
            </w:r>
          </w:p>
          <w:p>
            <w:pPr>
              <w:snapToGrid w:val="0"/>
              <w:spacing w:line="360" w:lineRule="auto"/>
              <w:ind w:left="-5" w:leftChars="-6" w:hanging="12" w:hangingChars="7"/>
              <w:jc w:val="center"/>
              <w:rPr>
                <w:rFonts w:eastAsia="宋体"/>
                <w:sz w:val="18"/>
                <w:szCs w:val="18"/>
              </w:rPr>
            </w:pPr>
            <w:r>
              <w:rPr>
                <w:rFonts w:eastAsia="宋体"/>
                <w:sz w:val="18"/>
                <w:szCs w:val="18"/>
              </w:rPr>
              <w:t>(中文)</w:t>
            </w:r>
          </w:p>
        </w:tc>
        <w:tc>
          <w:tcPr>
            <w:tcW w:w="3086" w:type="dxa"/>
            <w:gridSpan w:val="4"/>
            <w:vAlign w:val="center"/>
          </w:tcPr>
          <w:p>
            <w:pPr>
              <w:snapToGrid w:val="0"/>
              <w:spacing w:line="360" w:lineRule="auto"/>
              <w:jc w:val="center"/>
              <w:rPr>
                <w:rFonts w:eastAsia="宋体"/>
                <w:sz w:val="18"/>
                <w:szCs w:val="18"/>
              </w:rPr>
            </w:pPr>
            <w:r>
              <w:rPr>
                <w:rFonts w:hint="eastAsia" w:eastAsia="宋体"/>
                <w:sz w:val="20"/>
                <w:szCs w:val="20"/>
              </w:rPr>
              <w:t>混凝土抗压强度无损检测方法 超声回弹法</w:t>
            </w:r>
          </w:p>
        </w:tc>
        <w:tc>
          <w:tcPr>
            <w:tcW w:w="1843" w:type="dxa"/>
            <w:gridSpan w:val="2"/>
            <w:vAlign w:val="center"/>
          </w:tcPr>
          <w:p>
            <w:pPr>
              <w:snapToGrid w:val="0"/>
              <w:spacing w:line="360" w:lineRule="auto"/>
              <w:jc w:val="center"/>
              <w:rPr>
                <w:rFonts w:eastAsia="宋体"/>
                <w:sz w:val="18"/>
                <w:szCs w:val="18"/>
              </w:rPr>
            </w:pPr>
            <w:r>
              <w:rPr>
                <w:rFonts w:eastAsia="宋体"/>
                <w:sz w:val="18"/>
                <w:szCs w:val="18"/>
              </w:rPr>
              <w:t>建议项目名称</w:t>
            </w:r>
          </w:p>
          <w:p>
            <w:pPr>
              <w:snapToGrid w:val="0"/>
              <w:spacing w:line="360" w:lineRule="auto"/>
              <w:jc w:val="center"/>
              <w:rPr>
                <w:rFonts w:eastAsia="宋体"/>
                <w:sz w:val="18"/>
                <w:szCs w:val="18"/>
              </w:rPr>
            </w:pPr>
            <w:r>
              <w:rPr>
                <w:rFonts w:eastAsia="宋体"/>
                <w:sz w:val="18"/>
                <w:szCs w:val="18"/>
              </w:rPr>
              <w:t>(英文)</w:t>
            </w:r>
          </w:p>
        </w:tc>
        <w:tc>
          <w:tcPr>
            <w:tcW w:w="2644" w:type="dxa"/>
            <w:gridSpan w:val="2"/>
            <w:vAlign w:val="center"/>
          </w:tcPr>
          <w:p>
            <w:pPr>
              <w:snapToGrid w:val="0"/>
              <w:spacing w:line="360" w:lineRule="auto"/>
              <w:jc w:val="center"/>
              <w:rPr>
                <w:rFonts w:eastAsia="宋体"/>
                <w:sz w:val="18"/>
                <w:szCs w:val="18"/>
              </w:rPr>
            </w:pPr>
            <w:r>
              <w:rPr>
                <w:rFonts w:hint="eastAsia" w:eastAsia="宋体"/>
                <w:sz w:val="20"/>
              </w:rPr>
              <w:t>Non-destructive inspection method for compressive strength of concrete</w:t>
            </w:r>
            <w:r>
              <w:rPr>
                <w:rFonts w:eastAsia="宋体"/>
                <w:sz w:val="20"/>
              </w:rPr>
              <w:t>—Ultrasonic rehboud combined method</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jc w:val="center"/>
        </w:trPr>
        <w:tc>
          <w:tcPr>
            <w:tcW w:w="2167" w:type="dxa"/>
            <w:vAlign w:val="center"/>
          </w:tcPr>
          <w:p>
            <w:pPr>
              <w:snapToGrid w:val="0"/>
              <w:spacing w:line="360" w:lineRule="auto"/>
              <w:jc w:val="center"/>
              <w:rPr>
                <w:rFonts w:eastAsia="宋体"/>
                <w:sz w:val="18"/>
                <w:szCs w:val="18"/>
              </w:rPr>
            </w:pPr>
            <w:r>
              <w:rPr>
                <w:rFonts w:eastAsia="宋体"/>
                <w:sz w:val="18"/>
                <w:szCs w:val="18"/>
              </w:rPr>
              <w:t>制定或修订</w:t>
            </w:r>
          </w:p>
        </w:tc>
        <w:tc>
          <w:tcPr>
            <w:tcW w:w="1618" w:type="dxa"/>
            <w:gridSpan w:val="2"/>
            <w:vAlign w:val="center"/>
          </w:tcPr>
          <w:p>
            <w:pPr>
              <w:snapToGrid w:val="0"/>
              <w:spacing w:line="360" w:lineRule="auto"/>
              <w:rPr>
                <w:rFonts w:eastAsia="宋体"/>
                <w:sz w:val="18"/>
                <w:szCs w:val="18"/>
              </w:rPr>
            </w:pPr>
            <w:r>
              <w:rPr>
                <w:rFonts w:eastAsia="宋体"/>
                <w:sz w:val="18"/>
                <w:szCs w:val="18"/>
              </w:rPr>
              <w:sym w:font="Wingdings 2" w:char="0052"/>
            </w:r>
            <w:r>
              <w:rPr>
                <w:rFonts w:eastAsia="宋体"/>
                <w:sz w:val="18"/>
                <w:szCs w:val="18"/>
              </w:rPr>
              <w:t xml:space="preserve"> 制定</w:t>
            </w:r>
          </w:p>
        </w:tc>
        <w:tc>
          <w:tcPr>
            <w:tcW w:w="1468" w:type="dxa"/>
            <w:gridSpan w:val="2"/>
            <w:vAlign w:val="center"/>
          </w:tcPr>
          <w:p>
            <w:pPr>
              <w:snapToGrid w:val="0"/>
              <w:spacing w:line="360" w:lineRule="auto"/>
              <w:rPr>
                <w:rFonts w:eastAsia="宋体"/>
                <w:sz w:val="18"/>
                <w:szCs w:val="18"/>
              </w:rPr>
            </w:pPr>
            <w:r>
              <w:rPr>
                <w:rFonts w:eastAsia="宋体"/>
                <w:sz w:val="18"/>
                <w:szCs w:val="18"/>
              </w:rPr>
              <w:t>□ 修订</w:t>
            </w:r>
          </w:p>
        </w:tc>
        <w:tc>
          <w:tcPr>
            <w:tcW w:w="1843" w:type="dxa"/>
            <w:gridSpan w:val="2"/>
            <w:vAlign w:val="center"/>
          </w:tcPr>
          <w:p>
            <w:pPr>
              <w:snapToGrid w:val="0"/>
              <w:spacing w:line="360" w:lineRule="auto"/>
              <w:jc w:val="center"/>
              <w:rPr>
                <w:rFonts w:eastAsia="宋体"/>
                <w:sz w:val="18"/>
                <w:szCs w:val="18"/>
              </w:rPr>
            </w:pPr>
            <w:r>
              <w:rPr>
                <w:rFonts w:eastAsia="宋体"/>
                <w:sz w:val="18"/>
                <w:szCs w:val="18"/>
              </w:rPr>
              <w:t>被修订标准号</w:t>
            </w:r>
          </w:p>
        </w:tc>
        <w:tc>
          <w:tcPr>
            <w:tcW w:w="2644" w:type="dxa"/>
            <w:gridSpan w:val="2"/>
            <w:vAlign w:val="center"/>
          </w:tcPr>
          <w:p>
            <w:pPr>
              <w:snapToGrid w:val="0"/>
              <w:spacing w:line="360" w:lineRule="auto"/>
              <w:jc w:val="center"/>
              <w:rPr>
                <w:rFonts w:eastAsia="宋体"/>
                <w:sz w:val="18"/>
                <w:szCs w:val="18"/>
              </w:rPr>
            </w:pPr>
            <w:r>
              <w:rPr>
                <w:rFonts w:eastAsia="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atLeast"/>
          <w:jc w:val="center"/>
        </w:trPr>
        <w:tc>
          <w:tcPr>
            <w:tcW w:w="2167" w:type="dxa"/>
            <w:vAlign w:val="center"/>
          </w:tcPr>
          <w:p>
            <w:pPr>
              <w:snapToGrid w:val="0"/>
              <w:spacing w:line="360" w:lineRule="auto"/>
              <w:jc w:val="center"/>
              <w:rPr>
                <w:rFonts w:eastAsia="宋体"/>
                <w:sz w:val="18"/>
                <w:szCs w:val="18"/>
              </w:rPr>
            </w:pPr>
            <w:r>
              <w:rPr>
                <w:rFonts w:eastAsia="宋体"/>
                <w:sz w:val="18"/>
                <w:szCs w:val="18"/>
              </w:rPr>
              <w:t>采用程度</w:t>
            </w:r>
          </w:p>
        </w:tc>
        <w:tc>
          <w:tcPr>
            <w:tcW w:w="1078" w:type="dxa"/>
            <w:vAlign w:val="center"/>
          </w:tcPr>
          <w:p>
            <w:pPr>
              <w:snapToGrid w:val="0"/>
              <w:spacing w:line="360" w:lineRule="auto"/>
              <w:rPr>
                <w:rFonts w:eastAsia="宋体"/>
                <w:sz w:val="18"/>
                <w:szCs w:val="18"/>
              </w:rPr>
            </w:pPr>
            <w:r>
              <w:rPr>
                <w:rFonts w:eastAsia="宋体"/>
                <w:sz w:val="18"/>
                <w:szCs w:val="18"/>
              </w:rPr>
              <w:t>□ IDT</w:t>
            </w:r>
          </w:p>
        </w:tc>
        <w:tc>
          <w:tcPr>
            <w:tcW w:w="1080" w:type="dxa"/>
            <w:gridSpan w:val="2"/>
            <w:vAlign w:val="center"/>
          </w:tcPr>
          <w:p>
            <w:pPr>
              <w:snapToGrid w:val="0"/>
              <w:spacing w:line="360" w:lineRule="auto"/>
              <w:rPr>
                <w:rFonts w:eastAsia="宋体"/>
                <w:sz w:val="18"/>
                <w:szCs w:val="18"/>
              </w:rPr>
            </w:pPr>
            <w:r>
              <w:rPr>
                <w:rFonts w:eastAsia="宋体"/>
                <w:sz w:val="18"/>
                <w:szCs w:val="18"/>
              </w:rPr>
              <w:t>□ MOD</w:t>
            </w:r>
          </w:p>
        </w:tc>
        <w:tc>
          <w:tcPr>
            <w:tcW w:w="928" w:type="dxa"/>
            <w:vAlign w:val="center"/>
          </w:tcPr>
          <w:p>
            <w:pPr>
              <w:snapToGrid w:val="0"/>
              <w:spacing w:line="360" w:lineRule="auto"/>
              <w:rPr>
                <w:rFonts w:eastAsia="宋体"/>
                <w:sz w:val="18"/>
                <w:szCs w:val="18"/>
              </w:rPr>
            </w:pPr>
            <w:r>
              <w:rPr>
                <w:rFonts w:eastAsia="宋体"/>
                <w:sz w:val="18"/>
                <w:szCs w:val="18"/>
              </w:rPr>
              <w:t>□ NEQ</w:t>
            </w:r>
          </w:p>
        </w:tc>
        <w:tc>
          <w:tcPr>
            <w:tcW w:w="1843" w:type="dxa"/>
            <w:gridSpan w:val="2"/>
            <w:vAlign w:val="center"/>
          </w:tcPr>
          <w:p>
            <w:pPr>
              <w:snapToGrid w:val="0"/>
              <w:spacing w:line="360" w:lineRule="auto"/>
              <w:jc w:val="center"/>
              <w:rPr>
                <w:rFonts w:eastAsia="宋体"/>
                <w:sz w:val="18"/>
                <w:szCs w:val="18"/>
              </w:rPr>
            </w:pPr>
            <w:r>
              <w:rPr>
                <w:rFonts w:eastAsia="宋体"/>
                <w:sz w:val="18"/>
                <w:szCs w:val="18"/>
              </w:rPr>
              <w:t>采标号</w:t>
            </w:r>
          </w:p>
        </w:tc>
        <w:tc>
          <w:tcPr>
            <w:tcW w:w="2644" w:type="dxa"/>
            <w:gridSpan w:val="2"/>
            <w:vAlign w:val="center"/>
          </w:tcPr>
          <w:p>
            <w:pPr>
              <w:snapToGrid w:val="0"/>
              <w:spacing w:line="360" w:lineRule="auto"/>
              <w:jc w:val="center"/>
              <w:rPr>
                <w:rFonts w:eastAsia="宋体"/>
                <w:sz w:val="18"/>
                <w:szCs w:val="18"/>
              </w:rPr>
            </w:pPr>
            <w:r>
              <w:rPr>
                <w:rFonts w:eastAsia="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atLeast"/>
          <w:jc w:val="center"/>
        </w:trPr>
        <w:tc>
          <w:tcPr>
            <w:tcW w:w="2167" w:type="dxa"/>
            <w:vAlign w:val="center"/>
          </w:tcPr>
          <w:p>
            <w:pPr>
              <w:snapToGrid w:val="0"/>
              <w:spacing w:line="360" w:lineRule="auto"/>
              <w:jc w:val="center"/>
              <w:rPr>
                <w:rFonts w:eastAsia="宋体"/>
                <w:sz w:val="18"/>
                <w:szCs w:val="18"/>
              </w:rPr>
            </w:pPr>
            <w:r>
              <w:rPr>
                <w:rFonts w:eastAsia="宋体"/>
                <w:sz w:val="18"/>
                <w:szCs w:val="18"/>
              </w:rPr>
              <w:t>国际标准名称（中文）</w:t>
            </w:r>
          </w:p>
        </w:tc>
        <w:tc>
          <w:tcPr>
            <w:tcW w:w="3086" w:type="dxa"/>
            <w:gridSpan w:val="4"/>
            <w:vAlign w:val="center"/>
          </w:tcPr>
          <w:p>
            <w:pPr>
              <w:snapToGrid w:val="0"/>
              <w:spacing w:line="360" w:lineRule="auto"/>
              <w:jc w:val="center"/>
              <w:rPr>
                <w:rFonts w:eastAsia="宋体"/>
                <w:sz w:val="18"/>
                <w:szCs w:val="18"/>
              </w:rPr>
            </w:pPr>
            <w:r>
              <w:rPr>
                <w:rFonts w:eastAsia="宋体"/>
                <w:sz w:val="18"/>
                <w:szCs w:val="18"/>
              </w:rPr>
              <w:t>/</w:t>
            </w:r>
          </w:p>
        </w:tc>
        <w:tc>
          <w:tcPr>
            <w:tcW w:w="1843" w:type="dxa"/>
            <w:gridSpan w:val="2"/>
            <w:vAlign w:val="center"/>
          </w:tcPr>
          <w:p>
            <w:pPr>
              <w:snapToGrid w:val="0"/>
              <w:spacing w:line="360" w:lineRule="auto"/>
              <w:jc w:val="center"/>
              <w:rPr>
                <w:rFonts w:eastAsia="宋体"/>
                <w:sz w:val="18"/>
                <w:szCs w:val="18"/>
              </w:rPr>
            </w:pPr>
            <w:r>
              <w:rPr>
                <w:rFonts w:eastAsia="宋体"/>
                <w:sz w:val="18"/>
                <w:szCs w:val="18"/>
              </w:rPr>
              <w:t>国际标准名称（英文）</w:t>
            </w:r>
          </w:p>
        </w:tc>
        <w:tc>
          <w:tcPr>
            <w:tcW w:w="2644" w:type="dxa"/>
            <w:gridSpan w:val="2"/>
            <w:vAlign w:val="center"/>
          </w:tcPr>
          <w:p>
            <w:pPr>
              <w:snapToGrid w:val="0"/>
              <w:spacing w:line="360" w:lineRule="auto"/>
              <w:jc w:val="center"/>
              <w:rPr>
                <w:rFonts w:eastAsia="宋体"/>
                <w:sz w:val="18"/>
                <w:szCs w:val="18"/>
              </w:rPr>
            </w:pPr>
            <w:r>
              <w:rPr>
                <w:rFonts w:eastAsia="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atLeast"/>
          <w:jc w:val="center"/>
        </w:trPr>
        <w:tc>
          <w:tcPr>
            <w:tcW w:w="2167" w:type="dxa"/>
            <w:vAlign w:val="center"/>
          </w:tcPr>
          <w:p>
            <w:pPr>
              <w:snapToGrid w:val="0"/>
              <w:spacing w:line="360" w:lineRule="auto"/>
              <w:jc w:val="center"/>
              <w:rPr>
                <w:rFonts w:eastAsia="宋体"/>
                <w:sz w:val="18"/>
                <w:szCs w:val="18"/>
              </w:rPr>
            </w:pPr>
            <w:r>
              <w:rPr>
                <w:rFonts w:eastAsia="宋体"/>
                <w:sz w:val="18"/>
                <w:szCs w:val="18"/>
              </w:rPr>
              <w:t>ICS分类号</w:t>
            </w:r>
          </w:p>
        </w:tc>
        <w:tc>
          <w:tcPr>
            <w:tcW w:w="3086" w:type="dxa"/>
            <w:gridSpan w:val="4"/>
            <w:vAlign w:val="center"/>
          </w:tcPr>
          <w:p>
            <w:pPr>
              <w:snapToGrid w:val="0"/>
              <w:spacing w:line="360" w:lineRule="auto"/>
              <w:jc w:val="center"/>
              <w:rPr>
                <w:rFonts w:eastAsia="宋体"/>
                <w:sz w:val="18"/>
                <w:szCs w:val="18"/>
              </w:rPr>
            </w:pPr>
            <w:r>
              <w:rPr>
                <w:rFonts w:eastAsia="宋体"/>
                <w:sz w:val="18"/>
                <w:szCs w:val="18"/>
              </w:rPr>
              <w:t>91.100.30</w:t>
            </w:r>
          </w:p>
        </w:tc>
        <w:tc>
          <w:tcPr>
            <w:tcW w:w="1843" w:type="dxa"/>
            <w:gridSpan w:val="2"/>
            <w:vAlign w:val="center"/>
          </w:tcPr>
          <w:p>
            <w:pPr>
              <w:snapToGrid w:val="0"/>
              <w:spacing w:line="360" w:lineRule="auto"/>
              <w:jc w:val="center"/>
              <w:rPr>
                <w:rFonts w:eastAsia="宋体"/>
                <w:sz w:val="18"/>
                <w:szCs w:val="18"/>
              </w:rPr>
            </w:pPr>
            <w:r>
              <w:rPr>
                <w:rFonts w:eastAsia="宋体"/>
                <w:sz w:val="18"/>
                <w:szCs w:val="18"/>
              </w:rPr>
              <w:t>中国标准分类号</w:t>
            </w:r>
          </w:p>
        </w:tc>
        <w:tc>
          <w:tcPr>
            <w:tcW w:w="2644" w:type="dxa"/>
            <w:gridSpan w:val="2"/>
            <w:vAlign w:val="center"/>
          </w:tcPr>
          <w:p>
            <w:pPr>
              <w:snapToGrid w:val="0"/>
              <w:spacing w:line="360" w:lineRule="auto"/>
              <w:jc w:val="center"/>
              <w:rPr>
                <w:rFonts w:eastAsia="宋体"/>
                <w:sz w:val="18"/>
                <w:szCs w:val="18"/>
              </w:rPr>
            </w:pPr>
            <w:r>
              <w:rPr>
                <w:rFonts w:eastAsia="宋体"/>
                <w:sz w:val="18"/>
                <w:szCs w:val="18"/>
              </w:rPr>
              <w:t>Q13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6" w:hRule="atLeast"/>
          <w:jc w:val="center"/>
        </w:trPr>
        <w:tc>
          <w:tcPr>
            <w:tcW w:w="2167" w:type="dxa"/>
            <w:vAlign w:val="center"/>
          </w:tcPr>
          <w:p>
            <w:pPr>
              <w:snapToGrid w:val="0"/>
              <w:spacing w:line="360" w:lineRule="auto"/>
              <w:jc w:val="center"/>
              <w:rPr>
                <w:rFonts w:eastAsia="宋体"/>
                <w:sz w:val="18"/>
                <w:szCs w:val="18"/>
              </w:rPr>
            </w:pPr>
            <w:r>
              <w:rPr>
                <w:rFonts w:eastAsia="宋体"/>
                <w:sz w:val="18"/>
                <w:szCs w:val="18"/>
              </w:rPr>
              <w:t>标准主要起草单位</w:t>
            </w:r>
          </w:p>
        </w:tc>
        <w:tc>
          <w:tcPr>
            <w:tcW w:w="3086" w:type="dxa"/>
            <w:gridSpan w:val="4"/>
            <w:vAlign w:val="center"/>
          </w:tcPr>
          <w:p>
            <w:pPr>
              <w:snapToGrid w:val="0"/>
              <w:spacing w:line="360" w:lineRule="auto"/>
              <w:rPr>
                <w:rFonts w:eastAsia="宋体"/>
                <w:sz w:val="20"/>
              </w:rPr>
            </w:pPr>
            <w:r>
              <w:rPr>
                <w:rFonts w:eastAsia="宋体"/>
                <w:sz w:val="20"/>
              </w:rPr>
              <w:t>中国人民解放军陆军工程大学</w:t>
            </w:r>
          </w:p>
          <w:p>
            <w:pPr>
              <w:snapToGrid w:val="0"/>
              <w:spacing w:line="360" w:lineRule="auto"/>
              <w:rPr>
                <w:rFonts w:eastAsia="宋体"/>
                <w:sz w:val="18"/>
                <w:szCs w:val="18"/>
              </w:rPr>
            </w:pPr>
            <w:r>
              <w:rPr>
                <w:rFonts w:hint="eastAsia" w:eastAsia="宋体"/>
                <w:sz w:val="20"/>
              </w:rPr>
              <w:t>、</w:t>
            </w:r>
            <w:r>
              <w:rPr>
                <w:rFonts w:eastAsia="宋体"/>
                <w:sz w:val="20"/>
              </w:rPr>
              <w:t>南京玻璃纤维研究设计院有限公司</w:t>
            </w:r>
          </w:p>
        </w:tc>
        <w:tc>
          <w:tcPr>
            <w:tcW w:w="1843" w:type="dxa"/>
            <w:gridSpan w:val="2"/>
            <w:vAlign w:val="center"/>
          </w:tcPr>
          <w:p>
            <w:pPr>
              <w:snapToGrid w:val="0"/>
              <w:spacing w:line="360" w:lineRule="auto"/>
              <w:jc w:val="center"/>
              <w:rPr>
                <w:rFonts w:eastAsia="宋体"/>
                <w:sz w:val="18"/>
                <w:szCs w:val="18"/>
              </w:rPr>
            </w:pPr>
            <w:r>
              <w:rPr>
                <w:rFonts w:eastAsia="宋体"/>
                <w:sz w:val="18"/>
                <w:szCs w:val="18"/>
              </w:rPr>
              <w:t>计划起止时间</w:t>
            </w:r>
          </w:p>
        </w:tc>
        <w:tc>
          <w:tcPr>
            <w:tcW w:w="2644" w:type="dxa"/>
            <w:gridSpan w:val="2"/>
            <w:vAlign w:val="center"/>
          </w:tcPr>
          <w:p>
            <w:pPr>
              <w:snapToGrid w:val="0"/>
              <w:spacing w:line="360" w:lineRule="auto"/>
              <w:jc w:val="center"/>
              <w:rPr>
                <w:rFonts w:eastAsia="宋体"/>
                <w:sz w:val="18"/>
                <w:szCs w:val="18"/>
              </w:rPr>
            </w:pPr>
            <w:r>
              <w:rPr>
                <w:rFonts w:eastAsia="宋体"/>
                <w:sz w:val="18"/>
                <w:szCs w:val="18"/>
              </w:rPr>
              <w:t>2023年1月～2024年1月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jc w:val="center"/>
        </w:trPr>
        <w:tc>
          <w:tcPr>
            <w:tcW w:w="2167" w:type="dxa"/>
            <w:vAlign w:val="center"/>
          </w:tcPr>
          <w:p>
            <w:pPr>
              <w:snapToGrid w:val="0"/>
              <w:spacing w:line="360" w:lineRule="auto"/>
              <w:jc w:val="center"/>
              <w:rPr>
                <w:rFonts w:eastAsia="宋体"/>
                <w:sz w:val="18"/>
                <w:szCs w:val="18"/>
              </w:rPr>
            </w:pPr>
            <w:r>
              <w:rPr>
                <w:rFonts w:eastAsia="宋体"/>
                <w:sz w:val="18"/>
                <w:szCs w:val="18"/>
              </w:rPr>
              <w:t>目的﹑意义或必</w:t>
            </w:r>
          </w:p>
          <w:p>
            <w:pPr>
              <w:snapToGrid w:val="0"/>
              <w:spacing w:line="360" w:lineRule="auto"/>
              <w:jc w:val="center"/>
              <w:rPr>
                <w:rFonts w:eastAsia="宋体"/>
                <w:sz w:val="18"/>
                <w:szCs w:val="18"/>
              </w:rPr>
            </w:pPr>
            <w:r>
              <w:rPr>
                <w:rFonts w:eastAsia="宋体"/>
                <w:sz w:val="18"/>
                <w:szCs w:val="18"/>
              </w:rPr>
              <w:t>要性</w:t>
            </w:r>
          </w:p>
        </w:tc>
        <w:tc>
          <w:tcPr>
            <w:tcW w:w="7573" w:type="dxa"/>
            <w:gridSpan w:val="8"/>
            <w:vAlign w:val="center"/>
          </w:tcPr>
          <w:p>
            <w:pPr>
              <w:snapToGrid w:val="0"/>
              <w:spacing w:line="360" w:lineRule="auto"/>
              <w:ind w:firstLine="400" w:firstLineChars="200"/>
              <w:rPr>
                <w:rFonts w:eastAsia="宋体"/>
                <w:sz w:val="20"/>
              </w:rPr>
            </w:pPr>
          </w:p>
          <w:p>
            <w:pPr>
              <w:snapToGrid w:val="0"/>
              <w:spacing w:line="360" w:lineRule="auto"/>
              <w:ind w:firstLine="400" w:firstLineChars="200"/>
              <w:rPr>
                <w:rFonts w:eastAsia="宋体"/>
                <w:sz w:val="20"/>
              </w:rPr>
            </w:pPr>
            <w:r>
              <w:rPr>
                <w:rFonts w:eastAsia="宋体"/>
                <w:sz w:val="20"/>
              </w:rPr>
              <w:t>水泥混凝土是当今世界上建筑工程中使用量最大、适用范围最广的土木工程材料，因其原料易得、成本低、操作简便、耐久性好而广泛应用于工业和民用建筑以及交通、市政、能源、水利、海洋等建设工程中。</w:t>
            </w:r>
          </w:p>
          <w:p>
            <w:pPr>
              <w:snapToGrid w:val="0"/>
              <w:spacing w:line="360" w:lineRule="auto"/>
              <w:ind w:firstLine="400" w:firstLineChars="200"/>
              <w:rPr>
                <w:rFonts w:eastAsia="宋体"/>
                <w:sz w:val="20"/>
              </w:rPr>
            </w:pPr>
            <w:r>
              <w:rPr>
                <w:rFonts w:hint="eastAsia" w:eastAsia="宋体"/>
                <w:sz w:val="20"/>
              </w:rPr>
              <w:t>南海作为我国最重要的南大门，自古以来对我国都有着重要的战略价值，南海</w:t>
            </w:r>
            <w:r>
              <w:rPr>
                <w:rFonts w:eastAsia="宋体"/>
                <w:sz w:val="20"/>
              </w:rPr>
              <w:t>海域辽阔，出于政治、军事和巨大海洋权益的考虑，在南海DJ开展大规模海防工程建设具有非常重要的意义</w:t>
            </w:r>
            <w:r>
              <w:rPr>
                <w:rFonts w:hint="eastAsia" w:eastAsia="宋体"/>
                <w:sz w:val="20"/>
                <w:lang w:eastAsia="zh-CN"/>
              </w:rPr>
              <w:t>，</w:t>
            </w:r>
            <w:r>
              <w:rPr>
                <w:rFonts w:hint="eastAsia" w:eastAsia="宋体"/>
                <w:sz w:val="20"/>
                <w:lang w:val="en-US" w:eastAsia="zh-CN"/>
              </w:rPr>
              <w:t>而</w:t>
            </w:r>
            <w:r>
              <w:rPr>
                <w:rFonts w:eastAsia="宋体"/>
                <w:sz w:val="20"/>
              </w:rPr>
              <w:t>混凝土</w:t>
            </w:r>
            <w:r>
              <w:rPr>
                <w:rFonts w:hint="eastAsia" w:eastAsia="宋体"/>
                <w:sz w:val="20"/>
                <w:lang w:val="en-US" w:eastAsia="zh-CN"/>
              </w:rPr>
              <w:t>材料在</w:t>
            </w:r>
            <w:r>
              <w:rPr>
                <w:rFonts w:eastAsia="宋体"/>
                <w:sz w:val="20"/>
              </w:rPr>
              <w:t>路面、机场跑道等需要快速修补的工程以及海港码头、桥梁隧道等快速抢修抢建工程</w:t>
            </w:r>
            <w:r>
              <w:rPr>
                <w:rFonts w:hint="eastAsia" w:eastAsia="宋体"/>
                <w:sz w:val="20"/>
                <w:lang w:val="en-US" w:eastAsia="zh-CN"/>
              </w:rPr>
              <w:t>中也具有重要作用</w:t>
            </w:r>
            <w:r>
              <w:rPr>
                <w:rFonts w:eastAsia="宋体"/>
                <w:sz w:val="20"/>
              </w:rPr>
              <w:t>。虽然我国南海DJ上缺乏大陆常见的天然砂石和淡水资源，但利用</w:t>
            </w:r>
            <w:r>
              <w:rPr>
                <w:rFonts w:hint="eastAsia" w:eastAsia="宋体"/>
                <w:sz w:val="20"/>
              </w:rPr>
              <w:t>南海</w:t>
            </w:r>
            <w:r>
              <w:rPr>
                <w:rFonts w:eastAsia="宋体"/>
                <w:sz w:val="20"/>
              </w:rPr>
              <w:t>DJ附近大量存在的珊瑚礁砂及海水等原材料，不但能节省施工时间，满足快速推进工程建设的要求，而且可以大幅降低由于材料运输等耗费的经济成本。</w:t>
            </w:r>
          </w:p>
          <w:p>
            <w:pPr>
              <w:snapToGrid w:val="0"/>
              <w:spacing w:line="360" w:lineRule="auto"/>
              <w:ind w:firstLine="400" w:firstLineChars="200"/>
              <w:rPr>
                <w:rFonts w:eastAsia="宋体"/>
                <w:sz w:val="20"/>
              </w:rPr>
            </w:pPr>
            <w:r>
              <w:rPr>
                <w:rFonts w:hint="eastAsia" w:eastAsia="宋体"/>
                <w:sz w:val="20"/>
              </w:rPr>
              <w:t>南京航空航天大学、东南大学等国内高校早就对混凝土</w:t>
            </w:r>
            <w:r>
              <w:rPr>
                <w:rFonts w:hint="eastAsia" w:eastAsia="宋体"/>
                <w:sz w:val="20"/>
                <w:lang w:val="en-US" w:eastAsia="zh-CN"/>
              </w:rPr>
              <w:t>材料用于抢修抢建工程</w:t>
            </w:r>
            <w:r>
              <w:rPr>
                <w:rFonts w:hint="eastAsia" w:eastAsia="宋体"/>
                <w:sz w:val="20"/>
              </w:rPr>
              <w:t>进行了深入研究，同时结合南海某工程实际表明，</w:t>
            </w:r>
            <w:r>
              <w:rPr>
                <w:rFonts w:eastAsia="宋体"/>
                <w:sz w:val="20"/>
              </w:rPr>
              <w:t>混凝土材料</w:t>
            </w:r>
            <w:r>
              <w:rPr>
                <w:rFonts w:hint="eastAsia" w:eastAsia="宋体"/>
                <w:sz w:val="20"/>
                <w:lang w:val="en-US" w:eastAsia="zh-CN"/>
              </w:rPr>
              <w:t>尤其是</w:t>
            </w:r>
            <w:r>
              <w:rPr>
                <w:rFonts w:eastAsia="宋体"/>
                <w:sz w:val="20"/>
              </w:rPr>
              <w:t>海水珊瑚砂拌制的</w:t>
            </w:r>
            <w:r>
              <w:rPr>
                <w:rFonts w:hint="eastAsia" w:eastAsia="宋体"/>
                <w:sz w:val="20"/>
                <w:lang w:val="en-US" w:eastAsia="zh-CN"/>
              </w:rPr>
              <w:t>混凝土</w:t>
            </w:r>
            <w:r>
              <w:rPr>
                <w:rFonts w:eastAsia="宋体"/>
                <w:sz w:val="20"/>
              </w:rPr>
              <w:t>早期强度发展较快，恰好能符合快速抢修抢建工程的要求，因此</w:t>
            </w:r>
            <w:r>
              <w:rPr>
                <w:rFonts w:hint="eastAsia" w:eastAsia="宋体"/>
                <w:sz w:val="20"/>
              </w:rPr>
              <w:t>开展</w:t>
            </w:r>
            <w:r>
              <w:rPr>
                <w:rFonts w:eastAsia="宋体"/>
                <w:sz w:val="20"/>
              </w:rPr>
              <w:t>混凝土</w:t>
            </w:r>
            <w:r>
              <w:rPr>
                <w:rFonts w:hint="eastAsia" w:eastAsia="宋体"/>
                <w:sz w:val="20"/>
              </w:rPr>
              <w:t>材料在南海新型岛体用机场跑道修补、弹坑修补、新型工程抢修抢建等工程领域的应用研究具有重要的</w:t>
            </w:r>
            <w:r>
              <w:rPr>
                <w:rFonts w:eastAsia="宋体"/>
                <w:sz w:val="20"/>
              </w:rPr>
              <w:t>国防</w:t>
            </w:r>
            <w:r>
              <w:rPr>
                <w:rFonts w:hint="eastAsia" w:eastAsia="宋体"/>
                <w:sz w:val="20"/>
              </w:rPr>
              <w:t>安全</w:t>
            </w:r>
            <w:r>
              <w:rPr>
                <w:rFonts w:eastAsia="宋体"/>
                <w:sz w:val="20"/>
              </w:rPr>
              <w:t>意义和</w:t>
            </w:r>
            <w:r>
              <w:rPr>
                <w:rFonts w:hint="eastAsia" w:eastAsia="宋体"/>
                <w:sz w:val="20"/>
              </w:rPr>
              <w:t>战时</w:t>
            </w:r>
            <w:r>
              <w:rPr>
                <w:rFonts w:eastAsia="宋体"/>
                <w:sz w:val="20"/>
              </w:rPr>
              <w:t>工程实用价值。</w:t>
            </w:r>
          </w:p>
          <w:p>
            <w:pPr>
              <w:snapToGrid w:val="0"/>
              <w:spacing w:line="360" w:lineRule="auto"/>
              <w:ind w:firstLine="400" w:firstLineChars="200"/>
              <w:rPr>
                <w:rFonts w:eastAsia="宋体"/>
                <w:sz w:val="20"/>
              </w:rPr>
            </w:pPr>
            <w:r>
              <w:rPr>
                <w:rFonts w:eastAsia="宋体"/>
                <w:sz w:val="20"/>
              </w:rPr>
              <w:t>抗压强度是混凝土非常重要的性能指标之一，传统的抗压强度检测方法需制作混凝土试块</w:t>
            </w:r>
            <w:r>
              <w:rPr>
                <w:rFonts w:hint="eastAsia" w:eastAsia="宋体"/>
                <w:sz w:val="20"/>
              </w:rPr>
              <w:t>，养护2</w:t>
            </w:r>
            <w:r>
              <w:rPr>
                <w:rFonts w:eastAsia="宋体"/>
                <w:sz w:val="20"/>
              </w:rPr>
              <w:t>8</w:t>
            </w:r>
            <w:r>
              <w:rPr>
                <w:rFonts w:hint="eastAsia" w:eastAsia="宋体"/>
                <w:sz w:val="20"/>
              </w:rPr>
              <w:t>天后再</w:t>
            </w:r>
            <w:r>
              <w:rPr>
                <w:rFonts w:eastAsia="宋体"/>
                <w:sz w:val="20"/>
              </w:rPr>
              <w:t>进行破坏性实验</w:t>
            </w:r>
            <w:r>
              <w:rPr>
                <w:rFonts w:hint="eastAsia" w:eastAsia="宋体"/>
                <w:sz w:val="20"/>
              </w:rPr>
              <w:t>，时间周期长。</w:t>
            </w:r>
            <w:r>
              <w:rPr>
                <w:rFonts w:eastAsia="宋体"/>
                <w:sz w:val="20"/>
              </w:rPr>
              <w:t>随着建筑质量控制水平的不断提高以及混凝土抗压强度检测方法技术标准的建立</w:t>
            </w:r>
            <w:r>
              <w:rPr>
                <w:rFonts w:hint="eastAsia" w:eastAsia="宋体"/>
                <w:sz w:val="20"/>
              </w:rPr>
              <w:t>，回弹法和超声检测法这两类无损检测技术逐渐在工程中被应用，但由于这两类方法与传统破坏性实验相比准确率不高</w:t>
            </w:r>
            <w:r>
              <w:rPr>
                <w:rFonts w:eastAsia="宋体"/>
                <w:sz w:val="20"/>
              </w:rPr>
              <w:t>，通过结合回弹法和超声检测法两种无损检测方法的超声回弹综合法技术得到了快速发展，能更准确地评价混凝土的抗压特性，</w:t>
            </w:r>
            <w:r>
              <w:rPr>
                <w:rFonts w:hint="eastAsia" w:eastAsia="宋体"/>
                <w:sz w:val="20"/>
              </w:rPr>
              <w:t>也更适用于快速抢建工程，</w:t>
            </w:r>
            <w:r>
              <w:rPr>
                <w:rFonts w:eastAsia="宋体"/>
                <w:sz w:val="20"/>
              </w:rPr>
              <w:t>值得推广应用。制定该测试方法的团体标准，能够在抢修抢建工程中快速、准确的判断混凝土是否符合使用抗压强度的要求，支撑和保障该材料在国家重点发展领域的应用需求，为推动我国材料产业的发展提供重要的技术支撑。</w:t>
            </w:r>
          </w:p>
          <w:p>
            <w:pPr>
              <w:snapToGrid w:val="0"/>
              <w:spacing w:line="360" w:lineRule="auto"/>
              <w:ind w:firstLine="400" w:firstLineChars="200"/>
              <w:rPr>
                <w:rFonts w:hint="eastAsia" w:eastAsia="宋体"/>
                <w:sz w:val="20"/>
              </w:rPr>
            </w:pPr>
            <w:r>
              <w:rPr>
                <w:rFonts w:hint="eastAsia" w:eastAsia="宋体"/>
                <w:sz w:val="20"/>
              </w:rPr>
              <w:t>本标准项目经费来源于某军工项目“XX抢修能力体系建设研究”，该标准的制定</w:t>
            </w:r>
            <w:r>
              <w:rPr>
                <w:rFonts w:eastAsia="宋体"/>
                <w:sz w:val="20"/>
              </w:rPr>
              <w:t>对于南海DJ建设工程中提升快速抢修抢建工程效率</w:t>
            </w:r>
            <w:r>
              <w:rPr>
                <w:rFonts w:hint="eastAsia" w:eastAsia="宋体"/>
                <w:sz w:val="20"/>
              </w:rPr>
              <w:t>和提升国防安全</w:t>
            </w:r>
            <w:r>
              <w:rPr>
                <w:rFonts w:eastAsia="宋体"/>
                <w:sz w:val="20"/>
              </w:rPr>
              <w:t>具有重要的促进作用</w:t>
            </w:r>
            <w:r>
              <w:rPr>
                <w:rFonts w:hint="eastAsia" w:eastAsia="宋体"/>
                <w:sz w:val="20"/>
              </w:rPr>
              <w:t>。</w:t>
            </w:r>
          </w:p>
          <w:p>
            <w:pPr>
              <w:snapToGrid w:val="0"/>
              <w:spacing w:line="360" w:lineRule="auto"/>
              <w:ind w:firstLine="400" w:firstLineChars="200"/>
              <w:rPr>
                <w:rFonts w:hint="eastAsia" w:eastAsia="宋体"/>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7" w:hRule="atLeast"/>
          <w:jc w:val="center"/>
        </w:trPr>
        <w:tc>
          <w:tcPr>
            <w:tcW w:w="2167" w:type="dxa"/>
            <w:vAlign w:val="center"/>
          </w:tcPr>
          <w:p>
            <w:pPr>
              <w:snapToGrid w:val="0"/>
              <w:spacing w:line="360" w:lineRule="auto"/>
              <w:jc w:val="center"/>
              <w:rPr>
                <w:rFonts w:eastAsia="宋体"/>
                <w:sz w:val="18"/>
                <w:szCs w:val="18"/>
              </w:rPr>
            </w:pPr>
            <w:r>
              <w:rPr>
                <w:rFonts w:eastAsia="宋体"/>
                <w:sz w:val="18"/>
                <w:szCs w:val="18"/>
              </w:rPr>
              <w:t>范围和主要</w:t>
            </w:r>
          </w:p>
          <w:p>
            <w:pPr>
              <w:snapToGrid w:val="0"/>
              <w:spacing w:line="360" w:lineRule="auto"/>
              <w:jc w:val="center"/>
              <w:rPr>
                <w:rFonts w:eastAsia="宋体"/>
                <w:sz w:val="18"/>
                <w:szCs w:val="18"/>
              </w:rPr>
            </w:pPr>
            <w:r>
              <w:rPr>
                <w:rFonts w:eastAsia="宋体"/>
                <w:sz w:val="18"/>
                <w:szCs w:val="18"/>
              </w:rPr>
              <w:t>技术内容</w:t>
            </w:r>
          </w:p>
        </w:tc>
        <w:tc>
          <w:tcPr>
            <w:tcW w:w="7573" w:type="dxa"/>
            <w:gridSpan w:val="8"/>
            <w:vAlign w:val="center"/>
          </w:tcPr>
          <w:p>
            <w:pPr>
              <w:snapToGrid w:val="0"/>
              <w:spacing w:line="360" w:lineRule="auto"/>
              <w:ind w:firstLine="400" w:firstLineChars="200"/>
              <w:rPr>
                <w:rFonts w:eastAsia="宋体"/>
                <w:sz w:val="20"/>
              </w:rPr>
            </w:pPr>
            <w:r>
              <w:rPr>
                <w:rFonts w:eastAsia="宋体"/>
                <w:sz w:val="20"/>
              </w:rPr>
              <w:t>本标准规定了混凝土抗压强度的</w:t>
            </w:r>
            <w:r>
              <w:rPr>
                <w:rFonts w:hint="eastAsia" w:eastAsia="宋体"/>
                <w:sz w:val="20"/>
                <w:lang w:val="en-US" w:eastAsia="zh-CN"/>
              </w:rPr>
              <w:t>无损</w:t>
            </w:r>
            <w:r>
              <w:rPr>
                <w:rFonts w:eastAsia="宋体"/>
                <w:sz w:val="20"/>
              </w:rPr>
              <w:t>检测方法——超声回弹法，该方法是通过结合两种以上的无损检测技术，来获得反应混凝土抗压强度的参数，并根据参数与抗压强度之间的联系，建立综合数值评价模型。与单一检测方法相比，它能更准确地评价混凝土的抗压特性。</w:t>
            </w:r>
          </w:p>
          <w:p>
            <w:pPr>
              <w:snapToGrid w:val="0"/>
              <w:spacing w:line="360" w:lineRule="auto"/>
              <w:ind w:firstLine="400" w:firstLineChars="200"/>
              <w:rPr>
                <w:rFonts w:eastAsia="宋体"/>
                <w:sz w:val="20"/>
              </w:rPr>
            </w:pPr>
            <w:r>
              <w:rPr>
                <w:rFonts w:eastAsia="宋体"/>
                <w:sz w:val="20"/>
              </w:rPr>
              <w:t>本标准内容包括术语和定义、试验仪器和材料、试验步骤、结果计算和试验报告等技术元素。本标准适用于以海水珊瑚礁砂为主要原材料的快凝快硬混凝土材料。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2" w:hRule="atLeast"/>
          <w:jc w:val="center"/>
        </w:trPr>
        <w:tc>
          <w:tcPr>
            <w:tcW w:w="2167" w:type="dxa"/>
            <w:vAlign w:val="center"/>
          </w:tcPr>
          <w:p>
            <w:pPr>
              <w:snapToGrid w:val="0"/>
              <w:spacing w:line="360" w:lineRule="auto"/>
              <w:jc w:val="center"/>
              <w:rPr>
                <w:rFonts w:eastAsia="宋体"/>
                <w:sz w:val="18"/>
                <w:szCs w:val="18"/>
              </w:rPr>
            </w:pPr>
            <w:r>
              <w:rPr>
                <w:rFonts w:eastAsia="宋体"/>
                <w:sz w:val="18"/>
                <w:szCs w:val="18"/>
              </w:rPr>
              <w:t>国内外情况</w:t>
            </w:r>
          </w:p>
          <w:p>
            <w:pPr>
              <w:snapToGrid w:val="0"/>
              <w:spacing w:line="360" w:lineRule="auto"/>
              <w:jc w:val="center"/>
              <w:rPr>
                <w:rFonts w:eastAsia="宋体"/>
                <w:sz w:val="18"/>
                <w:szCs w:val="18"/>
              </w:rPr>
            </w:pPr>
            <w:r>
              <w:rPr>
                <w:rFonts w:eastAsia="宋体"/>
                <w:sz w:val="18"/>
                <w:szCs w:val="18"/>
              </w:rPr>
              <w:t>简要说明</w:t>
            </w:r>
          </w:p>
        </w:tc>
        <w:tc>
          <w:tcPr>
            <w:tcW w:w="7573" w:type="dxa"/>
            <w:gridSpan w:val="8"/>
            <w:vAlign w:val="center"/>
          </w:tcPr>
          <w:p>
            <w:pPr>
              <w:snapToGrid w:val="0"/>
              <w:spacing w:line="360" w:lineRule="auto"/>
              <w:ind w:firstLine="360"/>
              <w:rPr>
                <w:rFonts w:eastAsia="宋体"/>
                <w:sz w:val="20"/>
              </w:rPr>
            </w:pPr>
            <w:r>
              <w:rPr>
                <w:rFonts w:hint="eastAsia" w:eastAsia="宋体"/>
                <w:sz w:val="20"/>
              </w:rPr>
              <w:t>国外已有相关水泥混凝土测试评价的相关标准，但是针对</w:t>
            </w:r>
            <w:r>
              <w:rPr>
                <w:rFonts w:eastAsia="宋体"/>
                <w:sz w:val="20"/>
              </w:rPr>
              <w:t>海水</w:t>
            </w:r>
            <w:r>
              <w:rPr>
                <w:rFonts w:hint="eastAsia" w:eastAsia="宋体"/>
                <w:sz w:val="20"/>
              </w:rPr>
              <w:t>珊瑚砂</w:t>
            </w:r>
            <w:r>
              <w:rPr>
                <w:rFonts w:eastAsia="宋体"/>
                <w:sz w:val="20"/>
              </w:rPr>
              <w:t>快凝快硬混凝土</w:t>
            </w:r>
            <w:r>
              <w:rPr>
                <w:rFonts w:hint="eastAsia" w:eastAsia="宋体"/>
                <w:sz w:val="20"/>
              </w:rPr>
              <w:t>材料方面的标准能查询到少之又少。国内已有</w:t>
            </w:r>
            <w:r>
              <w:rPr>
                <w:rFonts w:eastAsia="宋体"/>
                <w:sz w:val="20"/>
              </w:rPr>
              <w:t>GB/T 50081《混凝土物理力学性能试验方法标准》</w:t>
            </w:r>
            <w:r>
              <w:rPr>
                <w:rFonts w:hint="eastAsia" w:eastAsia="宋体"/>
                <w:sz w:val="20"/>
              </w:rPr>
              <w:t>、JGJ</w:t>
            </w:r>
            <w:r>
              <w:rPr>
                <w:rFonts w:eastAsia="宋体"/>
                <w:sz w:val="20"/>
              </w:rPr>
              <w:t>/T 23-2011</w:t>
            </w:r>
            <w:r>
              <w:rPr>
                <w:rFonts w:hint="eastAsia" w:eastAsia="宋体"/>
                <w:sz w:val="20"/>
              </w:rPr>
              <w:t>《回弹法检测混凝土抗压强度技术规程》、JG/</w:t>
            </w:r>
            <w:r>
              <w:rPr>
                <w:rFonts w:eastAsia="宋体"/>
                <w:sz w:val="20"/>
              </w:rPr>
              <w:t>T 520-2018</w:t>
            </w:r>
            <w:r>
              <w:rPr>
                <w:rFonts w:hint="eastAsia" w:eastAsia="宋体"/>
                <w:sz w:val="20"/>
              </w:rPr>
              <w:t>《挤压成型混凝土抗压强度试验方法》等混凝土测试评价标准，但大多数都主要采用破坏性实验，同时采用相对单一的测试评价方法进行检测，数据的离散性较大，</w:t>
            </w:r>
            <w:r>
              <w:rPr>
                <w:rFonts w:eastAsia="宋体"/>
                <w:sz w:val="20"/>
              </w:rPr>
              <w:t>与本标准</w:t>
            </w:r>
            <w:r>
              <w:rPr>
                <w:rFonts w:hint="eastAsia" w:eastAsia="宋体"/>
                <w:sz w:val="20"/>
              </w:rPr>
              <w:t>规定</w:t>
            </w:r>
            <w:r>
              <w:rPr>
                <w:rFonts w:eastAsia="宋体"/>
                <w:sz w:val="20"/>
              </w:rPr>
              <w:t>适用范围不同</w:t>
            </w:r>
            <w:r>
              <w:rPr>
                <w:rFonts w:hint="eastAsia" w:eastAsia="宋体"/>
                <w:sz w:val="20"/>
              </w:rPr>
              <w:t>，只能起到参考的作用，达不到实际采用或者应用作用</w:t>
            </w:r>
            <w:r>
              <w:rPr>
                <w:rFonts w:eastAsia="宋体"/>
                <w:sz w:val="20"/>
              </w:rPr>
              <w:t>。</w:t>
            </w:r>
          </w:p>
          <w:p>
            <w:pPr>
              <w:snapToGrid w:val="0"/>
              <w:spacing w:line="360" w:lineRule="auto"/>
              <w:ind w:firstLine="400" w:firstLineChars="200"/>
              <w:rPr>
                <w:rFonts w:eastAsia="宋体"/>
                <w:sz w:val="18"/>
                <w:szCs w:val="18"/>
              </w:rPr>
            </w:pPr>
            <w:r>
              <w:rPr>
                <w:rFonts w:eastAsia="宋体"/>
                <w:sz w:val="20"/>
              </w:rPr>
              <w:t>本标准未涉及专利。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97" w:hRule="atLeast"/>
          <w:jc w:val="center"/>
        </w:trPr>
        <w:tc>
          <w:tcPr>
            <w:tcW w:w="2167" w:type="dxa"/>
            <w:vAlign w:val="center"/>
          </w:tcPr>
          <w:p>
            <w:pPr>
              <w:pStyle w:val="4"/>
              <w:tabs>
                <w:tab w:val="clear" w:pos="4153"/>
                <w:tab w:val="clear" w:pos="8306"/>
              </w:tabs>
              <w:spacing w:line="360" w:lineRule="auto"/>
              <w:rPr>
                <w:rFonts w:ascii="Times New Roman" w:hAnsi="Times New Roman" w:eastAsia="宋体" w:cs="Times New Roman"/>
              </w:rPr>
            </w:pPr>
            <w:r>
              <w:rPr>
                <w:rFonts w:ascii="Times New Roman" w:hAnsi="Times New Roman" w:eastAsia="宋体" w:cs="Times New Roman"/>
              </w:rPr>
              <w:t>牵头单位</w:t>
            </w:r>
          </w:p>
        </w:tc>
        <w:tc>
          <w:tcPr>
            <w:tcW w:w="3972" w:type="dxa"/>
            <w:gridSpan w:val="5"/>
            <w:vAlign w:val="center"/>
          </w:tcPr>
          <w:p>
            <w:pPr>
              <w:snapToGrid w:val="0"/>
              <w:spacing w:line="360" w:lineRule="auto"/>
              <w:jc w:val="center"/>
              <w:rPr>
                <w:rFonts w:eastAsia="宋体"/>
                <w:sz w:val="18"/>
                <w:szCs w:val="18"/>
              </w:rPr>
            </w:pPr>
          </w:p>
          <w:p>
            <w:pPr>
              <w:snapToGrid w:val="0"/>
              <w:spacing w:line="360" w:lineRule="auto"/>
              <w:jc w:val="center"/>
              <w:rPr>
                <w:rFonts w:eastAsia="宋体"/>
                <w:sz w:val="18"/>
                <w:szCs w:val="18"/>
              </w:rPr>
            </w:pPr>
            <w:r>
              <w:rPr>
                <w:rFonts w:eastAsia="宋体"/>
                <w:sz w:val="18"/>
                <w:szCs w:val="18"/>
              </w:rPr>
              <w:t>（签字、盖公章）</w:t>
            </w:r>
          </w:p>
          <w:p>
            <w:pPr>
              <w:snapToGrid w:val="0"/>
              <w:spacing w:line="360" w:lineRule="auto"/>
              <w:jc w:val="center"/>
              <w:rPr>
                <w:rFonts w:eastAsia="宋体"/>
                <w:sz w:val="18"/>
                <w:szCs w:val="18"/>
              </w:rPr>
            </w:pPr>
            <w:r>
              <w:rPr>
                <w:rFonts w:eastAsia="宋体"/>
                <w:sz w:val="18"/>
                <w:szCs w:val="18"/>
              </w:rPr>
              <w:t>月     日</w:t>
            </w:r>
          </w:p>
        </w:tc>
        <w:tc>
          <w:tcPr>
            <w:tcW w:w="1701" w:type="dxa"/>
            <w:gridSpan w:val="2"/>
            <w:vAlign w:val="center"/>
          </w:tcPr>
          <w:p>
            <w:pPr>
              <w:snapToGrid w:val="0"/>
              <w:spacing w:line="360" w:lineRule="auto"/>
              <w:jc w:val="center"/>
              <w:rPr>
                <w:rFonts w:eastAsia="宋体"/>
                <w:sz w:val="18"/>
                <w:szCs w:val="18"/>
              </w:rPr>
            </w:pPr>
            <w:r>
              <w:rPr>
                <w:rFonts w:eastAsia="宋体"/>
                <w:sz w:val="18"/>
                <w:szCs w:val="18"/>
              </w:rPr>
              <w:t>归口管理部门</w:t>
            </w:r>
          </w:p>
        </w:tc>
        <w:tc>
          <w:tcPr>
            <w:tcW w:w="1900" w:type="dxa"/>
            <w:vAlign w:val="center"/>
          </w:tcPr>
          <w:p>
            <w:pPr>
              <w:snapToGrid w:val="0"/>
              <w:spacing w:line="360" w:lineRule="auto"/>
              <w:rPr>
                <w:rFonts w:eastAsia="宋体"/>
                <w:sz w:val="18"/>
                <w:szCs w:val="18"/>
              </w:rPr>
            </w:pPr>
          </w:p>
          <w:p>
            <w:pPr>
              <w:snapToGrid w:val="0"/>
              <w:rPr>
                <w:rFonts w:eastAsia="宋体"/>
                <w:sz w:val="18"/>
                <w:szCs w:val="18"/>
              </w:rPr>
            </w:pPr>
            <w:r>
              <w:rPr>
                <w:rFonts w:eastAsia="宋体"/>
                <w:sz w:val="18"/>
                <w:szCs w:val="18"/>
              </w:rPr>
              <w:t>（签字、盖公章）</w:t>
            </w:r>
          </w:p>
          <w:p>
            <w:pPr>
              <w:snapToGrid w:val="0"/>
              <w:rPr>
                <w:rFonts w:eastAsia="宋体"/>
                <w:sz w:val="18"/>
                <w:szCs w:val="18"/>
              </w:rPr>
            </w:pPr>
            <w:r>
              <w:rPr>
                <w:rFonts w:eastAsia="宋体"/>
                <w:sz w:val="18"/>
                <w:szCs w:val="18"/>
              </w:rPr>
              <w:t xml:space="preserve">    月     日</w:t>
            </w:r>
          </w:p>
        </w:tc>
      </w:tr>
    </w:tbl>
    <w:p>
      <w:pPr>
        <w:snapToGrid w:val="0"/>
        <w:spacing w:before="156" w:beforeLines="50"/>
        <w:ind w:firstLine="503" w:firstLineChars="280"/>
        <w:rPr>
          <w:rFonts w:eastAsia="宋体"/>
          <w:sz w:val="18"/>
          <w:szCs w:val="18"/>
        </w:rPr>
      </w:pPr>
      <w:r>
        <w:rPr>
          <w:rFonts w:eastAsia="宋体"/>
          <w:sz w:val="18"/>
          <w:szCs w:val="18"/>
        </w:rPr>
        <w:t>[注1]  填写制定或修订项目中，若选择修订必须填写被修订标准号；</w:t>
      </w:r>
    </w:p>
    <w:p>
      <w:pPr>
        <w:snapToGrid w:val="0"/>
        <w:ind w:firstLine="503" w:firstLineChars="280"/>
        <w:rPr>
          <w:rFonts w:eastAsia="宋体"/>
          <w:sz w:val="18"/>
          <w:szCs w:val="18"/>
        </w:rPr>
      </w:pPr>
      <w:r>
        <w:rPr>
          <w:rFonts w:eastAsia="宋体"/>
          <w:sz w:val="18"/>
          <w:szCs w:val="18"/>
        </w:rPr>
        <w:t>[注2]  选择采用国际标准，必须填写采标号及采用程度；</w:t>
      </w:r>
    </w:p>
    <w:p>
      <w:pPr>
        <w:snapToGrid w:val="0"/>
        <w:ind w:left="448" w:leftChars="160" w:firstLine="54" w:firstLineChars="30"/>
        <w:rPr>
          <w:sz w:val="18"/>
          <w:szCs w:val="18"/>
        </w:rPr>
      </w:pPr>
      <w:r>
        <w:rPr>
          <w:rFonts w:eastAsia="宋体"/>
          <w:sz w:val="18"/>
          <w:szCs w:val="18"/>
        </w:rPr>
        <w:t>[注3]  选择采用快速程序，必须填写快速程序代码。</w:t>
      </w:r>
    </w:p>
    <w:p>
      <w:pPr>
        <w:snapToGrid w:val="0"/>
        <w:rPr>
          <w:sz w:val="18"/>
          <w:szCs w:val="18"/>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QxMGNmZjE3MTEwNjcxYjg0NzQ2YzFiMWMyZDlkOGUifQ=="/>
  </w:docVars>
  <w:rsids>
    <w:rsidRoot w:val="00747499"/>
    <w:rsid w:val="002E7510"/>
    <w:rsid w:val="00314295"/>
    <w:rsid w:val="00373E14"/>
    <w:rsid w:val="003E069F"/>
    <w:rsid w:val="0043715F"/>
    <w:rsid w:val="00547527"/>
    <w:rsid w:val="00552843"/>
    <w:rsid w:val="00631028"/>
    <w:rsid w:val="006A60EB"/>
    <w:rsid w:val="00747499"/>
    <w:rsid w:val="007B0A44"/>
    <w:rsid w:val="009A76A3"/>
    <w:rsid w:val="00A618D0"/>
    <w:rsid w:val="00C42532"/>
    <w:rsid w:val="00C941B8"/>
    <w:rsid w:val="00DB3C75"/>
    <w:rsid w:val="00E03E1D"/>
    <w:rsid w:val="00F7264B"/>
    <w:rsid w:val="00F746B8"/>
    <w:rsid w:val="017E2A82"/>
    <w:rsid w:val="08EE6740"/>
    <w:rsid w:val="0A6424AA"/>
    <w:rsid w:val="0D1C7D1F"/>
    <w:rsid w:val="109E735D"/>
    <w:rsid w:val="142B4CEC"/>
    <w:rsid w:val="195734D4"/>
    <w:rsid w:val="1CC57360"/>
    <w:rsid w:val="1CEE7120"/>
    <w:rsid w:val="1D365280"/>
    <w:rsid w:val="20C0647E"/>
    <w:rsid w:val="2258121E"/>
    <w:rsid w:val="23563407"/>
    <w:rsid w:val="27306E72"/>
    <w:rsid w:val="27BF23DC"/>
    <w:rsid w:val="29C9174D"/>
    <w:rsid w:val="2C33078A"/>
    <w:rsid w:val="30696528"/>
    <w:rsid w:val="31654748"/>
    <w:rsid w:val="31666F0B"/>
    <w:rsid w:val="32450250"/>
    <w:rsid w:val="37CC4280"/>
    <w:rsid w:val="39227F65"/>
    <w:rsid w:val="395E02E1"/>
    <w:rsid w:val="3B184ABF"/>
    <w:rsid w:val="3C8B502E"/>
    <w:rsid w:val="41C91453"/>
    <w:rsid w:val="45080DD4"/>
    <w:rsid w:val="4D18592A"/>
    <w:rsid w:val="4D956757"/>
    <w:rsid w:val="50E13A61"/>
    <w:rsid w:val="55544DCA"/>
    <w:rsid w:val="556F1FFA"/>
    <w:rsid w:val="5E48511F"/>
    <w:rsid w:val="61EF3877"/>
    <w:rsid w:val="631F1174"/>
    <w:rsid w:val="63FE69AC"/>
    <w:rsid w:val="64F63B27"/>
    <w:rsid w:val="669056BB"/>
    <w:rsid w:val="6BBB2DF6"/>
    <w:rsid w:val="6BE54E3B"/>
    <w:rsid w:val="6E3204CD"/>
    <w:rsid w:val="6F80075F"/>
    <w:rsid w:val="73E12DE3"/>
    <w:rsid w:val="7521699E"/>
    <w:rsid w:val="75E64AA4"/>
    <w:rsid w:val="7A941EE4"/>
    <w:rsid w:val="7DE535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28"/>
      <w:lang w:val="en-US" w:eastAsia="zh-CN" w:bidi="ar-SA"/>
    </w:rPr>
  </w:style>
  <w:style w:type="paragraph" w:styleId="2">
    <w:name w:val="heading 3"/>
    <w:basedOn w:val="1"/>
    <w:next w:val="1"/>
    <w:semiHidden/>
    <w:unhideWhenUsed/>
    <w:qFormat/>
    <w:uiPriority w:val="9"/>
    <w:pPr>
      <w:spacing w:beforeAutospacing="1" w:afterAutospacing="1"/>
      <w:jc w:val="left"/>
      <w:outlineLvl w:val="2"/>
    </w:pPr>
    <w:rPr>
      <w:rFonts w:hint="eastAsia" w:ascii="宋体" w:hAnsi="宋体" w:eastAsia="宋体"/>
      <w:b/>
      <w:bCs/>
      <w:kern w:val="0"/>
      <w:sz w:val="27"/>
      <w:szCs w:val="27"/>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7">
    <w:name w:val="Hyperlink"/>
    <w:basedOn w:val="6"/>
    <w:semiHidden/>
    <w:unhideWhenUsed/>
    <w:qFormat/>
    <w:uiPriority w:val="99"/>
    <w:rPr>
      <w:color w:val="0000FF"/>
      <w:u w:val="single"/>
    </w:rPr>
  </w:style>
  <w:style w:type="character" w:customStyle="1" w:styleId="8">
    <w:name w:val="页眉 字符"/>
    <w:basedOn w:val="6"/>
    <w:link w:val="4"/>
    <w:qFormat/>
    <w:uiPriority w:val="0"/>
    <w:rPr>
      <w:sz w:val="18"/>
      <w:szCs w:val="18"/>
    </w:rPr>
  </w:style>
  <w:style w:type="character" w:customStyle="1" w:styleId="9">
    <w:name w:val="页脚 字符"/>
    <w:basedOn w:val="6"/>
    <w:link w:val="3"/>
    <w:qFormat/>
    <w:uiPriority w:val="99"/>
    <w:rPr>
      <w:sz w:val="18"/>
      <w:szCs w:val="18"/>
    </w:rPr>
  </w:style>
  <w:style w:type="table" w:customStyle="1" w:styleId="10">
    <w:name w:val="Table Normal"/>
    <w:semiHidden/>
    <w:unhideWhenUsed/>
    <w:qFormat/>
    <w:uiPriority w:val="2"/>
    <w:pPr>
      <w:widowControl w:val="0"/>
    </w:pPr>
    <w:rPr>
      <w:sz w:val="22"/>
      <w:lang w:eastAsia="en-US"/>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1603</Words>
  <Characters>1748</Characters>
  <Lines>14</Lines>
  <Paragraphs>4</Paragraphs>
  <TotalTime>1</TotalTime>
  <ScaleCrop>false</ScaleCrop>
  <LinksUpToDate>false</LinksUpToDate>
  <CharactersWithSpaces>1787</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2023-03-01T00:46:00Z</dcterms:created>
  <dc:creator>bz</dc:creator>
  <cp:lastModifiedBy>宋楠</cp:lastModifiedBy>
  <dcterms:modified xsi:type="dcterms:W3CDTF">2023-03-14T06:39:32Z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9F1EAAF08F034EB7A2ABD3776E68DDBF</vt:lpwstr>
  </property>
</Properties>
</file>